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347438BC" w:rsidR="00097DD4" w:rsidRPr="0053480A"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53480A" w:rsidRPr="0053480A">
        <w:rPr>
          <w:b/>
          <w:noProof/>
          <w:sz w:val="24"/>
          <w:lang w:val="en-CN"/>
        </w:rPr>
        <w:t>R4-2211893</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05CAF060"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171290">
        <w:rPr>
          <w:rFonts w:ascii="Arial" w:hAnsi="Arial" w:cs="Arial"/>
          <w:b/>
          <w:sz w:val="22"/>
          <w:szCs w:val="22"/>
          <w:lang w:val="en-US"/>
        </w:rPr>
        <w:t>9.9.2.1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BBB0465" w:rsidR="00712CC1" w:rsidRPr="00871656"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71290" w:rsidRPr="00171290">
        <w:rPr>
          <w:rFonts w:ascii="Arial" w:hAnsi="Arial" w:cs="Arial"/>
          <w:b/>
          <w:sz w:val="22"/>
          <w:szCs w:val="22"/>
          <w:lang w:val="en-CN"/>
        </w:rPr>
        <w:t xml:space="preserve">On Pre-MG performance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6EC6ADB" w14:textId="5F72A400" w:rsidR="000936F5" w:rsidRPr="007B0877" w:rsidRDefault="007B0877" w:rsidP="00CA0B7B">
      <w:pPr>
        <w:rPr>
          <w:lang w:val="en-US"/>
        </w:rPr>
      </w:pPr>
      <w:r>
        <w:rPr>
          <w:lang w:eastAsia="zh-CN"/>
        </w:rPr>
        <w:t>Performance</w:t>
      </w:r>
      <w:r>
        <w:rPr>
          <w:lang w:val="en-US" w:eastAsia="zh-CN"/>
        </w:rPr>
        <w:t xml:space="preserve"> of Pre-MG was extensively discussed in RAN4#103e, with agreement captured in [1]</w:t>
      </w:r>
      <w:r w:rsidR="00FA106A">
        <w:rPr>
          <w:lang w:val="en-US" w:eastAsia="zh-CN"/>
        </w:rPr>
        <w:t>. Test case configuration related agreements are duplicated below for information.</w:t>
      </w:r>
      <w:r w:rsidR="00902A9F">
        <w:rPr>
          <w:lang w:val="en-US" w:eastAsia="zh-CN"/>
        </w:rPr>
        <w:t xml:space="preserve"> </w:t>
      </w:r>
    </w:p>
    <w:tbl>
      <w:tblPr>
        <w:tblStyle w:val="TableGrid"/>
        <w:tblW w:w="0" w:type="auto"/>
        <w:tblLook w:val="04A0" w:firstRow="1" w:lastRow="0" w:firstColumn="1" w:lastColumn="0" w:noHBand="0" w:noVBand="1"/>
      </w:tblPr>
      <w:tblGrid>
        <w:gridCol w:w="9629"/>
      </w:tblGrid>
      <w:tr w:rsidR="00816A9A" w14:paraId="0AA35E0D" w14:textId="77777777" w:rsidTr="00816A9A">
        <w:tc>
          <w:tcPr>
            <w:tcW w:w="9629" w:type="dxa"/>
          </w:tcPr>
          <w:p w14:paraId="6D54BD03" w14:textId="77777777" w:rsidR="0076662C" w:rsidRPr="0076662C" w:rsidRDefault="0076662C" w:rsidP="0076662C">
            <w:pPr>
              <w:tabs>
                <w:tab w:val="num" w:pos="576"/>
              </w:tabs>
              <w:spacing w:after="120"/>
              <w:rPr>
                <w:color w:val="0070C0"/>
                <w:lang w:eastAsia="zh-CN"/>
              </w:rPr>
            </w:pPr>
            <w:r w:rsidRPr="0076662C">
              <w:rPr>
                <w:color w:val="0070C0"/>
                <w:lang w:eastAsia="zh-CN"/>
              </w:rPr>
              <w:t xml:space="preserve">Sub-topic 2-1 Test case configuration </w:t>
            </w:r>
          </w:p>
          <w:p w14:paraId="66E41B04" w14:textId="77777777" w:rsidR="0076662C" w:rsidRPr="0076662C" w:rsidRDefault="0076662C" w:rsidP="0076662C">
            <w:pPr>
              <w:tabs>
                <w:tab w:val="num" w:pos="1146"/>
              </w:tabs>
              <w:spacing w:after="120"/>
              <w:rPr>
                <w:b/>
                <w:bCs/>
                <w:color w:val="0070C0"/>
                <w:lang w:eastAsia="zh-CN"/>
              </w:rPr>
            </w:pPr>
            <w:r w:rsidRPr="0076662C">
              <w:rPr>
                <w:b/>
                <w:bCs/>
                <w:color w:val="0070C0"/>
                <w:lang w:eastAsia="zh-CN"/>
              </w:rPr>
              <w:t>Issue 2-1-1 Test cases for the different deployment scenarios</w:t>
            </w:r>
          </w:p>
          <w:p w14:paraId="57ED5D44" w14:textId="77777777" w:rsidR="0076662C" w:rsidRPr="0076662C" w:rsidRDefault="0076662C" w:rsidP="0076662C">
            <w:pPr>
              <w:spacing w:after="120"/>
              <w:rPr>
                <w:b/>
                <w:color w:val="0070C0"/>
                <w:lang w:eastAsia="zh-CN"/>
              </w:rPr>
            </w:pPr>
            <w:r w:rsidRPr="0076662C">
              <w:rPr>
                <w:b/>
                <w:color w:val="0070C0"/>
                <w:lang w:eastAsia="zh-CN"/>
              </w:rPr>
              <w:t>Agreements:</w:t>
            </w:r>
          </w:p>
          <w:p w14:paraId="481FDA5C"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t xml:space="preserve">Only need to define the test cases for SA  </w:t>
            </w:r>
          </w:p>
          <w:p w14:paraId="0908E167" w14:textId="77777777" w:rsidR="0076662C" w:rsidRPr="0076662C" w:rsidRDefault="0076662C" w:rsidP="0076662C">
            <w:pPr>
              <w:tabs>
                <w:tab w:val="num" w:pos="1146"/>
              </w:tabs>
              <w:spacing w:after="120"/>
              <w:rPr>
                <w:b/>
                <w:bCs/>
                <w:color w:val="0070C0"/>
                <w:lang w:eastAsia="zh-CN"/>
              </w:rPr>
            </w:pPr>
            <w:r w:rsidRPr="0076662C">
              <w:rPr>
                <w:b/>
                <w:bCs/>
                <w:color w:val="0070C0"/>
                <w:lang w:eastAsia="zh-CN"/>
              </w:rPr>
              <w:t>Issue 2-1-2 Non-DRX or DRX</w:t>
            </w:r>
          </w:p>
          <w:p w14:paraId="34BBE810" w14:textId="77777777" w:rsidR="0076662C" w:rsidRPr="0076662C" w:rsidRDefault="0076662C" w:rsidP="0076662C">
            <w:pPr>
              <w:spacing w:after="120"/>
              <w:rPr>
                <w:b/>
                <w:color w:val="0070C0"/>
                <w:lang w:eastAsia="zh-CN"/>
              </w:rPr>
            </w:pPr>
            <w:r w:rsidRPr="0076662C">
              <w:rPr>
                <w:b/>
                <w:color w:val="0070C0"/>
                <w:lang w:eastAsia="zh-CN"/>
              </w:rPr>
              <w:t>Agreements:</w:t>
            </w:r>
          </w:p>
          <w:p w14:paraId="27C277C5"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t>Only define the test cases for Non-DRX cases</w:t>
            </w:r>
          </w:p>
          <w:p w14:paraId="6A797EC1" w14:textId="77777777" w:rsidR="0076662C" w:rsidRPr="0076662C" w:rsidRDefault="0076662C" w:rsidP="0076662C">
            <w:pPr>
              <w:spacing w:after="120"/>
              <w:rPr>
                <w:color w:val="0070C0"/>
                <w:lang w:eastAsia="zh-CN"/>
              </w:rPr>
            </w:pPr>
          </w:p>
          <w:p w14:paraId="5200A92C" w14:textId="77777777" w:rsidR="0076662C" w:rsidRPr="0076662C" w:rsidRDefault="0076662C" w:rsidP="0076662C">
            <w:pPr>
              <w:tabs>
                <w:tab w:val="num" w:pos="1146"/>
              </w:tabs>
              <w:spacing w:after="120"/>
              <w:rPr>
                <w:b/>
                <w:bCs/>
                <w:color w:val="0070C0"/>
                <w:lang w:eastAsia="zh-CN"/>
              </w:rPr>
            </w:pPr>
            <w:r w:rsidRPr="0076662C">
              <w:rPr>
                <w:b/>
                <w:bCs/>
                <w:color w:val="0070C0"/>
                <w:lang w:eastAsia="zh-CN"/>
              </w:rPr>
              <w:t>Issue 2-1-3 CA or single carrier</w:t>
            </w:r>
          </w:p>
          <w:p w14:paraId="7E66EEDF" w14:textId="77777777" w:rsidR="0076662C" w:rsidRPr="0076662C" w:rsidRDefault="0076662C" w:rsidP="0076662C">
            <w:pPr>
              <w:spacing w:after="120"/>
              <w:rPr>
                <w:b/>
                <w:color w:val="0070C0"/>
                <w:lang w:eastAsia="zh-CN"/>
              </w:rPr>
            </w:pPr>
            <w:r w:rsidRPr="0076662C">
              <w:rPr>
                <w:b/>
                <w:color w:val="0070C0"/>
                <w:lang w:eastAsia="zh-CN"/>
              </w:rPr>
              <w:t>Agreements:</w:t>
            </w:r>
          </w:p>
          <w:p w14:paraId="4DE6E4CF"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t xml:space="preserve">Define the test cases for single carrier cases firstly. The final agreements on TC list in issue 2-2-5 can be updated accordingly. </w:t>
            </w:r>
          </w:p>
          <w:p w14:paraId="2DE4C685"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t>Whether the other additional test cases for CA can be FFS in the next meeting.</w:t>
            </w:r>
          </w:p>
          <w:p w14:paraId="3CA0B6AE" w14:textId="77777777" w:rsidR="0076662C" w:rsidRPr="0076662C" w:rsidRDefault="0076662C" w:rsidP="0076662C">
            <w:pPr>
              <w:spacing w:after="120"/>
              <w:rPr>
                <w:color w:val="0070C0"/>
                <w:lang w:eastAsia="zh-CN"/>
              </w:rPr>
            </w:pPr>
          </w:p>
          <w:p w14:paraId="7C8D0D4B" w14:textId="77777777" w:rsidR="0076662C" w:rsidRPr="0076662C" w:rsidRDefault="0076662C" w:rsidP="0076662C">
            <w:pPr>
              <w:tabs>
                <w:tab w:val="num" w:pos="1146"/>
              </w:tabs>
              <w:spacing w:after="120"/>
              <w:rPr>
                <w:b/>
                <w:bCs/>
                <w:color w:val="0070C0"/>
                <w:lang w:eastAsia="zh-CN"/>
              </w:rPr>
            </w:pPr>
            <w:r w:rsidRPr="0076662C">
              <w:rPr>
                <w:b/>
                <w:bCs/>
                <w:color w:val="0070C0"/>
                <w:lang w:eastAsia="zh-CN"/>
              </w:rPr>
              <w:t>Issue 2-1-4 Pre-MG activation mechanism</w:t>
            </w:r>
          </w:p>
          <w:p w14:paraId="4A43FF84" w14:textId="77777777" w:rsidR="0076662C" w:rsidRPr="0076662C" w:rsidRDefault="0076662C" w:rsidP="0076662C">
            <w:pPr>
              <w:spacing w:after="120"/>
              <w:rPr>
                <w:b/>
                <w:color w:val="0070C0"/>
                <w:lang w:eastAsia="zh-CN"/>
              </w:rPr>
            </w:pPr>
            <w:r w:rsidRPr="0076662C">
              <w:rPr>
                <w:b/>
                <w:color w:val="0070C0"/>
                <w:lang w:eastAsia="zh-CN"/>
              </w:rPr>
              <w:t>Agreements:</w:t>
            </w:r>
          </w:p>
          <w:p w14:paraId="2DAE3BCD"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t>Both UE autonomous and network-controlled pre-MG (de)activation mechanisms shall be verified.</w:t>
            </w:r>
          </w:p>
          <w:p w14:paraId="103900F1" w14:textId="77777777" w:rsidR="0076662C" w:rsidRPr="0076662C" w:rsidRDefault="0076662C" w:rsidP="0076662C">
            <w:pPr>
              <w:tabs>
                <w:tab w:val="num" w:pos="1146"/>
              </w:tabs>
              <w:spacing w:after="120"/>
              <w:rPr>
                <w:b/>
                <w:bCs/>
                <w:color w:val="0070C0"/>
                <w:lang w:eastAsia="zh-CN"/>
              </w:rPr>
            </w:pPr>
            <w:r w:rsidRPr="0076662C">
              <w:rPr>
                <w:b/>
                <w:bCs/>
                <w:color w:val="0070C0"/>
                <w:lang w:eastAsia="zh-CN"/>
              </w:rPr>
              <w:t>Issue 2-1-5 Which types of measurement reference signal measured</w:t>
            </w:r>
          </w:p>
          <w:p w14:paraId="75E5CC61" w14:textId="77777777" w:rsidR="0076662C" w:rsidRPr="0076662C" w:rsidRDefault="0076662C" w:rsidP="0076662C">
            <w:pPr>
              <w:spacing w:after="120"/>
              <w:rPr>
                <w:b/>
                <w:color w:val="0070C0"/>
                <w:lang w:eastAsia="zh-CN"/>
              </w:rPr>
            </w:pPr>
            <w:r w:rsidRPr="0076662C">
              <w:rPr>
                <w:b/>
                <w:color w:val="0070C0"/>
                <w:lang w:eastAsia="zh-CN"/>
              </w:rPr>
              <w:t>Agreements:</w:t>
            </w:r>
          </w:p>
          <w:p w14:paraId="0BDE933D"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t xml:space="preserve">The SSB reference signal can be configured for Pre-MG test cases.  </w:t>
            </w:r>
          </w:p>
          <w:p w14:paraId="74C33125" w14:textId="77777777" w:rsidR="0076662C" w:rsidRPr="0076662C" w:rsidRDefault="0076662C" w:rsidP="0076662C">
            <w:pPr>
              <w:spacing w:after="120"/>
              <w:rPr>
                <w:color w:val="0070C0"/>
                <w:lang w:eastAsia="zh-CN"/>
              </w:rPr>
            </w:pPr>
          </w:p>
          <w:p w14:paraId="7F415C29" w14:textId="77777777" w:rsidR="0076662C" w:rsidRPr="0076662C" w:rsidRDefault="0076662C" w:rsidP="0076662C">
            <w:pPr>
              <w:tabs>
                <w:tab w:val="num" w:pos="1146"/>
              </w:tabs>
              <w:spacing w:after="120"/>
              <w:rPr>
                <w:b/>
                <w:bCs/>
                <w:color w:val="0070C0"/>
                <w:lang w:eastAsia="zh-CN"/>
              </w:rPr>
            </w:pPr>
            <w:r w:rsidRPr="0076662C">
              <w:rPr>
                <w:b/>
                <w:bCs/>
                <w:color w:val="0070C0"/>
                <w:lang w:eastAsia="zh-CN"/>
              </w:rPr>
              <w:t>Issue 2-1-6 Which types of trigger events</w:t>
            </w:r>
          </w:p>
          <w:p w14:paraId="09799DB0" w14:textId="77777777" w:rsidR="0076662C" w:rsidRPr="0076662C" w:rsidRDefault="0076662C" w:rsidP="0076662C">
            <w:pPr>
              <w:spacing w:after="120"/>
              <w:rPr>
                <w:b/>
                <w:color w:val="0070C0"/>
                <w:lang w:eastAsia="zh-CN"/>
              </w:rPr>
            </w:pPr>
            <w:r w:rsidRPr="0076662C">
              <w:rPr>
                <w:b/>
                <w:color w:val="0070C0"/>
                <w:lang w:eastAsia="zh-CN"/>
              </w:rPr>
              <w:t>Agreements:</w:t>
            </w:r>
          </w:p>
          <w:p w14:paraId="19A3281B"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t xml:space="preserve">Define the test cases for BWP switching trigger event firstly. </w:t>
            </w:r>
          </w:p>
          <w:p w14:paraId="23464C02"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t>Whether the other additional test cases for MO addition/remove can be FFS in the next meeting.</w:t>
            </w:r>
          </w:p>
          <w:p w14:paraId="5ADEA50B" w14:textId="77777777" w:rsidR="0076662C" w:rsidRPr="0076662C" w:rsidRDefault="0076662C" w:rsidP="0076662C">
            <w:pPr>
              <w:tabs>
                <w:tab w:val="num" w:pos="1146"/>
              </w:tabs>
              <w:spacing w:after="120"/>
              <w:rPr>
                <w:b/>
                <w:bCs/>
                <w:color w:val="0070C0"/>
                <w:lang w:eastAsia="zh-CN"/>
              </w:rPr>
            </w:pPr>
            <w:r w:rsidRPr="0076662C">
              <w:rPr>
                <w:b/>
                <w:bCs/>
                <w:color w:val="0070C0"/>
                <w:lang w:eastAsia="zh-CN"/>
              </w:rPr>
              <w:t xml:space="preserve">Issue 2-1-7 per-UE/per-FR gap patterns </w:t>
            </w:r>
          </w:p>
          <w:p w14:paraId="2A6E794E" w14:textId="77777777" w:rsidR="0076662C" w:rsidRPr="0076662C" w:rsidRDefault="0076662C" w:rsidP="0076662C">
            <w:pPr>
              <w:spacing w:after="120"/>
              <w:rPr>
                <w:b/>
                <w:color w:val="0070C0"/>
                <w:lang w:eastAsia="zh-CN"/>
              </w:rPr>
            </w:pPr>
            <w:r w:rsidRPr="0076662C">
              <w:rPr>
                <w:b/>
                <w:color w:val="0070C0"/>
                <w:lang w:eastAsia="zh-CN"/>
              </w:rPr>
              <w:t>Agreements:</w:t>
            </w:r>
          </w:p>
          <w:p w14:paraId="6B3064CC"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t>per-UE gap pattern can be configured in Pre-MG testing</w:t>
            </w:r>
          </w:p>
          <w:p w14:paraId="3A97E08B" w14:textId="77777777" w:rsidR="0076662C" w:rsidRPr="0076662C" w:rsidRDefault="0076662C" w:rsidP="0076662C">
            <w:pPr>
              <w:tabs>
                <w:tab w:val="num" w:pos="1146"/>
              </w:tabs>
              <w:spacing w:after="120"/>
              <w:rPr>
                <w:b/>
                <w:bCs/>
                <w:color w:val="0070C0"/>
                <w:lang w:eastAsia="zh-CN"/>
              </w:rPr>
            </w:pPr>
            <w:r w:rsidRPr="0076662C">
              <w:rPr>
                <w:b/>
                <w:bCs/>
                <w:color w:val="0070C0"/>
                <w:lang w:eastAsia="zh-CN"/>
              </w:rPr>
              <w:t xml:space="preserve">Issue 2-1-8 Gap pattern </w:t>
            </w:r>
          </w:p>
          <w:p w14:paraId="6F8E06D7" w14:textId="77777777" w:rsidR="0076662C" w:rsidRPr="0076662C" w:rsidRDefault="0076662C" w:rsidP="0076662C">
            <w:pPr>
              <w:spacing w:after="120"/>
              <w:rPr>
                <w:b/>
                <w:color w:val="0070C0"/>
                <w:lang w:eastAsia="zh-CN"/>
              </w:rPr>
            </w:pPr>
            <w:r w:rsidRPr="0076662C">
              <w:rPr>
                <w:b/>
                <w:color w:val="0070C0"/>
                <w:lang w:eastAsia="zh-CN"/>
              </w:rPr>
              <w:t>Agreements:</w:t>
            </w:r>
          </w:p>
          <w:p w14:paraId="36A957D9"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lastRenderedPageBreak/>
              <w:t xml:space="preserve">#0 in FR1 and #13 for FR2 </w:t>
            </w:r>
          </w:p>
          <w:p w14:paraId="199BEF7C" w14:textId="77777777" w:rsidR="0076662C" w:rsidRPr="0076662C" w:rsidRDefault="0076662C" w:rsidP="0076662C">
            <w:pPr>
              <w:tabs>
                <w:tab w:val="num" w:pos="1146"/>
              </w:tabs>
              <w:spacing w:after="120"/>
              <w:rPr>
                <w:b/>
                <w:bCs/>
                <w:color w:val="0070C0"/>
                <w:lang w:eastAsia="zh-CN"/>
              </w:rPr>
            </w:pPr>
            <w:r w:rsidRPr="0076662C">
              <w:rPr>
                <w:b/>
                <w:bCs/>
                <w:color w:val="0070C0"/>
                <w:lang w:eastAsia="zh-CN"/>
              </w:rPr>
              <w:t xml:space="preserve">Issue 2-1-9 Testing procedure </w:t>
            </w:r>
          </w:p>
          <w:p w14:paraId="0E3F1EBF" w14:textId="77777777" w:rsidR="0076662C" w:rsidRPr="0076662C" w:rsidRDefault="0076662C" w:rsidP="0076662C">
            <w:pPr>
              <w:spacing w:after="120"/>
              <w:rPr>
                <w:b/>
                <w:color w:val="0070C0"/>
                <w:lang w:eastAsia="zh-CN"/>
              </w:rPr>
            </w:pPr>
            <w:r w:rsidRPr="0076662C">
              <w:rPr>
                <w:b/>
                <w:color w:val="0070C0"/>
                <w:lang w:eastAsia="zh-CN"/>
              </w:rPr>
              <w:t>Agreements:</w:t>
            </w:r>
          </w:p>
          <w:p w14:paraId="268B4FCB" w14:textId="77777777" w:rsidR="0076662C" w:rsidRPr="0076662C" w:rsidRDefault="0076662C" w:rsidP="0076662C">
            <w:pPr>
              <w:numPr>
                <w:ilvl w:val="0"/>
                <w:numId w:val="49"/>
              </w:numPr>
              <w:spacing w:after="120"/>
              <w:ind w:leftChars="200" w:left="820"/>
              <w:rPr>
                <w:color w:val="0070C0"/>
                <w:lang w:eastAsia="zh-CN"/>
              </w:rPr>
            </w:pPr>
            <w:r w:rsidRPr="0076662C">
              <w:rPr>
                <w:color w:val="0070C0"/>
                <w:lang w:eastAsia="zh-CN"/>
              </w:rPr>
              <w:t xml:space="preserve">Both the activation/deactivation and measurement reporting can be fulfilled within one testing procedure. </w:t>
            </w:r>
          </w:p>
          <w:p w14:paraId="4980E062" w14:textId="77777777" w:rsidR="0076662C" w:rsidRPr="0076662C" w:rsidRDefault="0076662C" w:rsidP="0076662C">
            <w:pPr>
              <w:tabs>
                <w:tab w:val="num" w:pos="1146"/>
              </w:tabs>
              <w:spacing w:after="120"/>
              <w:rPr>
                <w:b/>
                <w:bCs/>
                <w:color w:val="0070C0"/>
                <w:lang w:eastAsia="zh-CN"/>
              </w:rPr>
            </w:pPr>
            <w:r w:rsidRPr="0076662C">
              <w:rPr>
                <w:b/>
                <w:bCs/>
                <w:color w:val="0070C0"/>
                <w:lang w:eastAsia="zh-CN"/>
              </w:rPr>
              <w:t>Issue 2-1-10 Test cases on FR1/FR2</w:t>
            </w:r>
          </w:p>
          <w:p w14:paraId="702CEDEF" w14:textId="77777777" w:rsidR="0076662C" w:rsidRPr="0076662C" w:rsidRDefault="0076662C" w:rsidP="0076662C">
            <w:pPr>
              <w:spacing w:after="120"/>
              <w:rPr>
                <w:b/>
                <w:color w:val="0070C0"/>
                <w:lang w:eastAsia="zh-CN"/>
              </w:rPr>
            </w:pPr>
            <w:r w:rsidRPr="0076662C">
              <w:rPr>
                <w:b/>
                <w:color w:val="0070C0"/>
                <w:lang w:eastAsia="zh-CN"/>
              </w:rPr>
              <w:t>Agreements:</w:t>
            </w:r>
          </w:p>
          <w:p w14:paraId="1B2236F7" w14:textId="679833B3" w:rsidR="00816A9A" w:rsidRPr="0076662C" w:rsidRDefault="0076662C" w:rsidP="00816A9A">
            <w:pPr>
              <w:numPr>
                <w:ilvl w:val="0"/>
                <w:numId w:val="49"/>
              </w:numPr>
              <w:spacing w:after="120"/>
              <w:ind w:leftChars="200" w:left="820"/>
              <w:rPr>
                <w:color w:val="0070C0"/>
                <w:lang w:eastAsia="zh-CN"/>
              </w:rPr>
            </w:pPr>
            <w:r w:rsidRPr="0076662C">
              <w:rPr>
                <w:color w:val="0070C0"/>
                <w:lang w:eastAsia="zh-CN"/>
              </w:rPr>
              <w:t>Define the different TCs for FR1 and FR2</w:t>
            </w:r>
            <w:r w:rsidR="00816A9A" w:rsidRPr="0076662C">
              <w:rPr>
                <w:color w:val="0070C0"/>
                <w:lang w:eastAsia="zh-CN"/>
              </w:rPr>
              <w:t xml:space="preserve"> </w:t>
            </w:r>
          </w:p>
        </w:tc>
      </w:tr>
    </w:tbl>
    <w:p w14:paraId="0FC91E60" w14:textId="319F074B" w:rsidR="00816A9A" w:rsidRDefault="00816A9A" w:rsidP="00CA0B7B"/>
    <w:p w14:paraId="3CE7877C" w14:textId="6867CDB4" w:rsidR="00816A9A" w:rsidRPr="000D5DC6" w:rsidRDefault="00902A9F" w:rsidP="00CA0B7B">
      <w:r>
        <w:t xml:space="preserve">As can be observed, there are still some FFS left. </w:t>
      </w:r>
      <w:r w:rsidR="00816A9A">
        <w:t xml:space="preserve">In this contribution, </w:t>
      </w:r>
      <w:r>
        <w:t>we will further discuss the open issues and provide proposals accordingly.</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86C8F84" w14:textId="22A80FBD" w:rsidR="00194C27" w:rsidRDefault="00A7769C" w:rsidP="007B0877">
      <w:pPr>
        <w:pStyle w:val="Caption"/>
        <w:rPr>
          <w:b w:val="0"/>
          <w:bCs w:val="0"/>
        </w:rPr>
      </w:pPr>
      <w:r w:rsidRPr="00A7769C">
        <w:rPr>
          <w:b w:val="0"/>
          <w:bCs w:val="0"/>
        </w:rPr>
        <w:t xml:space="preserve">The first </w:t>
      </w:r>
      <w:r w:rsidR="009C523D">
        <w:rPr>
          <w:b w:val="0"/>
          <w:bCs w:val="0"/>
        </w:rPr>
        <w:t>issue is whether to introduce test case for CA:</w:t>
      </w:r>
    </w:p>
    <w:p w14:paraId="0AA49CBA" w14:textId="77777777" w:rsidR="009C523D" w:rsidRPr="0076662C" w:rsidRDefault="009C523D" w:rsidP="009C523D">
      <w:pPr>
        <w:tabs>
          <w:tab w:val="num" w:pos="1146"/>
        </w:tabs>
        <w:spacing w:after="120"/>
        <w:rPr>
          <w:b/>
          <w:bCs/>
          <w:color w:val="0070C0"/>
          <w:lang w:eastAsia="zh-CN"/>
        </w:rPr>
      </w:pPr>
      <w:r w:rsidRPr="0076662C">
        <w:rPr>
          <w:b/>
          <w:bCs/>
          <w:color w:val="0070C0"/>
          <w:lang w:eastAsia="zh-CN"/>
        </w:rPr>
        <w:t>Issue 2-1-3 CA or single carrier</w:t>
      </w:r>
    </w:p>
    <w:p w14:paraId="681D3707" w14:textId="77777777" w:rsidR="009C523D" w:rsidRPr="0076662C" w:rsidRDefault="009C523D" w:rsidP="009C523D">
      <w:pPr>
        <w:spacing w:after="120"/>
        <w:rPr>
          <w:b/>
          <w:color w:val="0070C0"/>
          <w:lang w:eastAsia="zh-CN"/>
        </w:rPr>
      </w:pPr>
      <w:r w:rsidRPr="0076662C">
        <w:rPr>
          <w:b/>
          <w:color w:val="0070C0"/>
          <w:lang w:eastAsia="zh-CN"/>
        </w:rPr>
        <w:t>Agreements:</w:t>
      </w:r>
    </w:p>
    <w:p w14:paraId="43D4EEDF" w14:textId="77777777" w:rsidR="009C523D" w:rsidRPr="0076662C" w:rsidRDefault="009C523D" w:rsidP="009C523D">
      <w:pPr>
        <w:numPr>
          <w:ilvl w:val="0"/>
          <w:numId w:val="49"/>
        </w:numPr>
        <w:spacing w:after="120"/>
        <w:ind w:leftChars="200" w:left="820"/>
        <w:rPr>
          <w:color w:val="0070C0"/>
          <w:lang w:eastAsia="zh-CN"/>
        </w:rPr>
      </w:pPr>
      <w:r w:rsidRPr="0076662C">
        <w:rPr>
          <w:color w:val="0070C0"/>
          <w:lang w:eastAsia="zh-CN"/>
        </w:rPr>
        <w:t xml:space="preserve">Define the test cases for single carrier cases firstly. The final agreements on TC list in issue 2-2-5 can be updated accordingly. </w:t>
      </w:r>
    </w:p>
    <w:p w14:paraId="5ADCA6FE" w14:textId="77777777" w:rsidR="009C523D" w:rsidRPr="0076662C" w:rsidRDefault="009C523D" w:rsidP="009C523D">
      <w:pPr>
        <w:numPr>
          <w:ilvl w:val="0"/>
          <w:numId w:val="49"/>
        </w:numPr>
        <w:spacing w:after="120"/>
        <w:ind w:leftChars="200" w:left="820"/>
        <w:rPr>
          <w:color w:val="0070C0"/>
          <w:lang w:eastAsia="zh-CN"/>
        </w:rPr>
      </w:pPr>
      <w:r w:rsidRPr="0076662C">
        <w:rPr>
          <w:color w:val="0070C0"/>
          <w:lang w:eastAsia="zh-CN"/>
        </w:rPr>
        <w:t>Whether the other additional test cases for CA can be FFS in the next meeting.</w:t>
      </w:r>
    </w:p>
    <w:p w14:paraId="37D15D9C" w14:textId="77777777" w:rsidR="00E97A1F" w:rsidRDefault="009C523D" w:rsidP="009C523D">
      <w:pPr>
        <w:rPr>
          <w:lang w:eastAsia="x-none"/>
        </w:rPr>
      </w:pPr>
      <w:r>
        <w:rPr>
          <w:lang w:eastAsia="x-none"/>
        </w:rPr>
        <w:t xml:space="preserve">Our preference is not to introduce additional test cases for CA. </w:t>
      </w:r>
      <w:r w:rsidR="00FE06EA">
        <w:rPr>
          <w:lang w:eastAsia="x-none"/>
        </w:rPr>
        <w:t>Determination of Pre-MG status is quite similar for single carrier and CA cases</w:t>
      </w:r>
      <w:r w:rsidR="00E30A81">
        <w:rPr>
          <w:lang w:eastAsia="x-none"/>
        </w:rPr>
        <w:t xml:space="preserve">. </w:t>
      </w:r>
      <w:r w:rsidR="005479B9">
        <w:rPr>
          <w:lang w:eastAsia="x-none"/>
        </w:rPr>
        <w:t>For both network controlled and UE autonomous activation/deactivation</w:t>
      </w:r>
      <w:r w:rsidR="000908F0">
        <w:rPr>
          <w:lang w:eastAsia="x-none"/>
        </w:rPr>
        <w:t xml:space="preserve">, </w:t>
      </w:r>
      <w:r w:rsidR="00FF025F">
        <w:rPr>
          <w:lang w:eastAsia="x-none"/>
        </w:rPr>
        <w:t xml:space="preserve">if UE can survive single carrier test case, we see no issue for the UE to survive under CA environment. </w:t>
      </w:r>
      <w:r w:rsidR="009636F5">
        <w:rPr>
          <w:lang w:eastAsia="x-none"/>
        </w:rPr>
        <w:t xml:space="preserve">In CA scenario, UE only needs to repeat the status checking for </w:t>
      </w:r>
      <w:r w:rsidR="00942CB5">
        <w:rPr>
          <w:lang w:eastAsia="x-none"/>
        </w:rPr>
        <w:t>single CC case multiple times.</w:t>
      </w:r>
      <w:r w:rsidR="00EB60B2">
        <w:rPr>
          <w:lang w:eastAsia="x-none"/>
        </w:rPr>
        <w:t xml:space="preserve"> On the hand, it is better to make all test cases applicable for </w:t>
      </w:r>
      <w:r w:rsidR="00DC17B1">
        <w:rPr>
          <w:lang w:eastAsia="x-none"/>
        </w:rPr>
        <w:t>non-CA capable UE, e.g. RedCap UE.</w:t>
      </w:r>
    </w:p>
    <w:p w14:paraId="10FBEB61" w14:textId="77777777" w:rsidR="0089051C" w:rsidRDefault="00E97A1F" w:rsidP="009C523D">
      <w:pPr>
        <w:rPr>
          <w:lang w:eastAsia="x-none"/>
        </w:rPr>
      </w:pPr>
      <w:r>
        <w:rPr>
          <w:lang w:eastAsia="x-none"/>
        </w:rPr>
        <w:t>Based on above analysis, we propose not to introduce test cases for CA.</w:t>
      </w:r>
    </w:p>
    <w:p w14:paraId="24707E28" w14:textId="5D2DEA11" w:rsidR="009C523D" w:rsidRPr="009C523D" w:rsidRDefault="0089051C" w:rsidP="0089051C">
      <w:pPr>
        <w:pStyle w:val="Caption"/>
      </w:pPr>
      <w:bookmarkStart w:id="2" w:name="_Ref110438902"/>
      <w:r>
        <w:t xml:space="preserve">Proposal </w:t>
      </w:r>
      <w:r>
        <w:fldChar w:fldCharType="begin"/>
      </w:r>
      <w:r>
        <w:instrText xml:space="preserve"> SEQ Proposal \* ARABIC </w:instrText>
      </w:r>
      <w:r>
        <w:fldChar w:fldCharType="separate"/>
      </w:r>
      <w:r w:rsidR="00E9161C">
        <w:rPr>
          <w:noProof/>
        </w:rPr>
        <w:t>1</w:t>
      </w:r>
      <w:r>
        <w:fldChar w:fldCharType="end"/>
      </w:r>
      <w:r>
        <w:t xml:space="preserve">: </w:t>
      </w:r>
      <w:r w:rsidR="00D6764E">
        <w:t>not introduce additional test cases for Pre-MG in CA.</w:t>
      </w:r>
      <w:bookmarkEnd w:id="2"/>
      <w:r w:rsidR="005C23E3">
        <w:t xml:space="preserve"> </w:t>
      </w:r>
    </w:p>
    <w:p w14:paraId="083803C3" w14:textId="3047C367" w:rsidR="00714A05" w:rsidRDefault="00714A05" w:rsidP="005D0320">
      <w:pPr>
        <w:rPr>
          <w:lang w:eastAsia="zh-CN"/>
        </w:rPr>
      </w:pPr>
    </w:p>
    <w:p w14:paraId="4C2002CF" w14:textId="4574D007" w:rsidR="001824F5" w:rsidRDefault="001824F5" w:rsidP="005D0320">
      <w:pPr>
        <w:rPr>
          <w:lang w:eastAsia="zh-CN"/>
        </w:rPr>
      </w:pPr>
      <w:r>
        <w:rPr>
          <w:lang w:eastAsia="zh-CN"/>
        </w:rPr>
        <w:t>Another issue is about trigger events:</w:t>
      </w:r>
    </w:p>
    <w:p w14:paraId="6A41C283" w14:textId="77777777" w:rsidR="001824F5" w:rsidRPr="0076662C" w:rsidRDefault="001824F5" w:rsidP="001824F5">
      <w:pPr>
        <w:tabs>
          <w:tab w:val="num" w:pos="1146"/>
        </w:tabs>
        <w:spacing w:after="120"/>
        <w:rPr>
          <w:b/>
          <w:bCs/>
          <w:color w:val="0070C0"/>
          <w:lang w:eastAsia="zh-CN"/>
        </w:rPr>
      </w:pPr>
      <w:r w:rsidRPr="0076662C">
        <w:rPr>
          <w:b/>
          <w:bCs/>
          <w:color w:val="0070C0"/>
          <w:lang w:eastAsia="zh-CN"/>
        </w:rPr>
        <w:t>Issue 2-1-6 Which types of trigger events</w:t>
      </w:r>
    </w:p>
    <w:p w14:paraId="77D002EA" w14:textId="77777777" w:rsidR="001824F5" w:rsidRPr="0076662C" w:rsidRDefault="001824F5" w:rsidP="001824F5">
      <w:pPr>
        <w:spacing w:after="120"/>
        <w:rPr>
          <w:b/>
          <w:color w:val="0070C0"/>
          <w:lang w:eastAsia="zh-CN"/>
        </w:rPr>
      </w:pPr>
      <w:r w:rsidRPr="0076662C">
        <w:rPr>
          <w:b/>
          <w:color w:val="0070C0"/>
          <w:lang w:eastAsia="zh-CN"/>
        </w:rPr>
        <w:t>Agreements:</w:t>
      </w:r>
    </w:p>
    <w:p w14:paraId="020CB75C" w14:textId="77777777" w:rsidR="001824F5" w:rsidRPr="0076662C" w:rsidRDefault="001824F5" w:rsidP="001824F5">
      <w:pPr>
        <w:numPr>
          <w:ilvl w:val="0"/>
          <w:numId w:val="49"/>
        </w:numPr>
        <w:spacing w:after="120"/>
        <w:ind w:leftChars="200" w:left="820"/>
        <w:rPr>
          <w:color w:val="0070C0"/>
          <w:lang w:eastAsia="zh-CN"/>
        </w:rPr>
      </w:pPr>
      <w:r w:rsidRPr="0076662C">
        <w:rPr>
          <w:color w:val="0070C0"/>
          <w:lang w:eastAsia="zh-CN"/>
        </w:rPr>
        <w:t xml:space="preserve">Define the test cases for BWP switching trigger event firstly. </w:t>
      </w:r>
    </w:p>
    <w:p w14:paraId="3CE2EAB6" w14:textId="77777777" w:rsidR="001824F5" w:rsidRPr="0076662C" w:rsidRDefault="001824F5" w:rsidP="001824F5">
      <w:pPr>
        <w:numPr>
          <w:ilvl w:val="0"/>
          <w:numId w:val="49"/>
        </w:numPr>
        <w:spacing w:after="120"/>
        <w:ind w:leftChars="200" w:left="820"/>
        <w:rPr>
          <w:color w:val="0070C0"/>
          <w:lang w:eastAsia="zh-CN"/>
        </w:rPr>
      </w:pPr>
      <w:r w:rsidRPr="0076662C">
        <w:rPr>
          <w:color w:val="0070C0"/>
          <w:lang w:eastAsia="zh-CN"/>
        </w:rPr>
        <w:t>Whether the other additional test cases for MO addition/remove can be FFS in the next meeting.</w:t>
      </w:r>
    </w:p>
    <w:p w14:paraId="05974E9A" w14:textId="696EBB2F" w:rsidR="001824F5" w:rsidRDefault="005F5C81" w:rsidP="005D0320">
      <w:pPr>
        <w:rPr>
          <w:lang w:eastAsia="zh-CN"/>
        </w:rPr>
      </w:pPr>
      <w:r>
        <w:rPr>
          <w:lang w:eastAsia="zh-CN"/>
        </w:rPr>
        <w:t xml:space="preserve">With target to simplify test cases design, we suggest RAN4 focusing on BWP switching first, which is the most typical use case of this functionality. </w:t>
      </w:r>
      <w:r w:rsidR="0015046D">
        <w:rPr>
          <w:lang w:eastAsia="zh-CN"/>
        </w:rPr>
        <w:t xml:space="preserve">On the hand, MO addition/remove is handled via RRC reconfiguration. </w:t>
      </w:r>
      <w:r w:rsidR="00091301">
        <w:rPr>
          <w:lang w:eastAsia="zh-CN"/>
        </w:rPr>
        <w:t>If UE fails to determine Pre-MG status after RRC reconfiguration, UE may not even be able to pass other Pre-MG test case since UE has to check initial status of Pre-MG after RRC configuration.</w:t>
      </w:r>
    </w:p>
    <w:p w14:paraId="580FFAA6" w14:textId="32C96D87" w:rsidR="00E9161C" w:rsidRDefault="00E9161C" w:rsidP="00E9161C">
      <w:pPr>
        <w:pStyle w:val="Caption"/>
        <w:rPr>
          <w:lang w:eastAsia="zh-CN"/>
        </w:rPr>
      </w:pPr>
      <w:bookmarkStart w:id="3" w:name="_Ref110438905"/>
      <w:r>
        <w:t xml:space="preserve">Proposal </w:t>
      </w:r>
      <w:r>
        <w:fldChar w:fldCharType="begin"/>
      </w:r>
      <w:r>
        <w:instrText xml:space="preserve"> SEQ Proposal \* ARABIC </w:instrText>
      </w:r>
      <w:r>
        <w:fldChar w:fldCharType="separate"/>
      </w:r>
      <w:r>
        <w:rPr>
          <w:noProof/>
        </w:rPr>
        <w:t>2</w:t>
      </w:r>
      <w:r>
        <w:fldChar w:fldCharType="end"/>
      </w:r>
      <w:r>
        <w:t>: no consider other additional test cases for MO addition/remove for Pre-MG in R17.</w:t>
      </w:r>
      <w:bookmarkEnd w:id="3"/>
    </w:p>
    <w:p w14:paraId="64040BA9" w14:textId="77777777" w:rsidR="001824F5" w:rsidRPr="007B0877" w:rsidRDefault="001824F5" w:rsidP="005D0320">
      <w:pPr>
        <w:rPr>
          <w:lang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303024D" w14:textId="4D64A03A" w:rsidR="002D5FEC" w:rsidRDefault="005D4A3C" w:rsidP="00AC5E60">
      <w:pPr>
        <w:jc w:val="both"/>
        <w:rPr>
          <w:rFonts w:cs="v4.2.0"/>
          <w:lang w:val="en-US" w:eastAsia="zh-CN"/>
        </w:rPr>
      </w:pPr>
      <w:r>
        <w:rPr>
          <w:rFonts w:cs="v4.2.0"/>
          <w:lang w:val="en-US" w:eastAsia="zh-CN"/>
        </w:rPr>
        <w:t>In this contribution</w:t>
      </w:r>
      <w:r w:rsidR="007A79D6">
        <w:rPr>
          <w:rFonts w:cs="v4.2.0"/>
          <w:lang w:val="en-US" w:eastAsia="zh-CN"/>
        </w:rPr>
        <w:t xml:space="preserve">, </w:t>
      </w:r>
      <w:r w:rsidR="000001E0">
        <w:rPr>
          <w:rFonts w:cs="v4.2.0"/>
          <w:lang w:val="en-US" w:eastAsia="zh-CN"/>
        </w:rPr>
        <w:t>we further discuss the open issues in Pre-MG topic. After discussion, the following conclusions are provided:</w:t>
      </w:r>
    </w:p>
    <w:p w14:paraId="2863AD4F" w14:textId="14C0E251" w:rsidR="000001E0" w:rsidRPr="00E71CBE" w:rsidRDefault="00E71CBE" w:rsidP="00AC5E60">
      <w:pPr>
        <w:jc w:val="both"/>
        <w:rPr>
          <w:rFonts w:cs="v4.2.0"/>
          <w:b/>
          <w:bCs/>
          <w:lang w:val="en-US" w:eastAsia="zh-CN"/>
        </w:rPr>
      </w:pPr>
      <w:r w:rsidRPr="00E71CBE">
        <w:rPr>
          <w:rFonts w:cs="v4.2.0"/>
          <w:b/>
          <w:bCs/>
          <w:lang w:val="en-US" w:eastAsia="zh-CN"/>
        </w:rPr>
        <w:lastRenderedPageBreak/>
        <w:fldChar w:fldCharType="begin"/>
      </w:r>
      <w:r w:rsidRPr="00E71CBE">
        <w:rPr>
          <w:rFonts w:cs="v4.2.0"/>
          <w:b/>
          <w:bCs/>
          <w:lang w:val="en-US" w:eastAsia="zh-CN"/>
        </w:rPr>
        <w:instrText xml:space="preserve"> REF _Ref110438902 \h </w:instrText>
      </w:r>
      <w:r>
        <w:rPr>
          <w:rFonts w:cs="v4.2.0"/>
          <w:b/>
          <w:bCs/>
          <w:lang w:val="en-US" w:eastAsia="zh-CN"/>
        </w:rPr>
        <w:instrText xml:space="preserve"> \* MERGEFORMAT </w:instrText>
      </w:r>
      <w:r w:rsidRPr="00E71CBE">
        <w:rPr>
          <w:rFonts w:cs="v4.2.0"/>
          <w:b/>
          <w:bCs/>
          <w:lang w:val="en-US" w:eastAsia="zh-CN"/>
        </w:rPr>
      </w:r>
      <w:r w:rsidRPr="00E71CBE">
        <w:rPr>
          <w:rFonts w:cs="v4.2.0"/>
          <w:b/>
          <w:bCs/>
          <w:lang w:val="en-US" w:eastAsia="zh-CN"/>
        </w:rPr>
        <w:fldChar w:fldCharType="separate"/>
      </w:r>
      <w:r w:rsidRPr="00E71CBE">
        <w:rPr>
          <w:b/>
          <w:bCs/>
        </w:rPr>
        <w:t xml:space="preserve">Proposal </w:t>
      </w:r>
      <w:r w:rsidRPr="00E71CBE">
        <w:rPr>
          <w:b/>
          <w:bCs/>
          <w:noProof/>
        </w:rPr>
        <w:t>1</w:t>
      </w:r>
      <w:r w:rsidRPr="00E71CBE">
        <w:rPr>
          <w:b/>
          <w:bCs/>
        </w:rPr>
        <w:t>: not introduce additional test cases for Pre-MG in CA.</w:t>
      </w:r>
      <w:r w:rsidRPr="00E71CBE">
        <w:rPr>
          <w:rFonts w:cs="v4.2.0"/>
          <w:b/>
          <w:bCs/>
          <w:lang w:val="en-US" w:eastAsia="zh-CN"/>
        </w:rPr>
        <w:fldChar w:fldCharType="end"/>
      </w:r>
    </w:p>
    <w:p w14:paraId="3E31A6F0" w14:textId="46B70941" w:rsidR="00E71CBE" w:rsidRPr="00E71CBE" w:rsidRDefault="00E71CBE" w:rsidP="00AC5E60">
      <w:pPr>
        <w:jc w:val="both"/>
        <w:rPr>
          <w:rFonts w:cs="v4.2.0"/>
          <w:b/>
          <w:bCs/>
          <w:lang w:val="en-US" w:eastAsia="zh-CN"/>
        </w:rPr>
      </w:pPr>
      <w:r w:rsidRPr="00E71CBE">
        <w:rPr>
          <w:rFonts w:cs="v4.2.0"/>
          <w:b/>
          <w:bCs/>
          <w:lang w:val="en-US" w:eastAsia="zh-CN"/>
        </w:rPr>
        <w:fldChar w:fldCharType="begin"/>
      </w:r>
      <w:r w:rsidRPr="00E71CBE">
        <w:rPr>
          <w:rFonts w:cs="v4.2.0"/>
          <w:b/>
          <w:bCs/>
          <w:lang w:val="en-US" w:eastAsia="zh-CN"/>
        </w:rPr>
        <w:instrText xml:space="preserve"> REF _Ref110438905 \h </w:instrText>
      </w:r>
      <w:r>
        <w:rPr>
          <w:rFonts w:cs="v4.2.0"/>
          <w:b/>
          <w:bCs/>
          <w:lang w:val="en-US" w:eastAsia="zh-CN"/>
        </w:rPr>
        <w:instrText xml:space="preserve"> \* MERGEFORMAT </w:instrText>
      </w:r>
      <w:r w:rsidRPr="00E71CBE">
        <w:rPr>
          <w:rFonts w:cs="v4.2.0"/>
          <w:b/>
          <w:bCs/>
          <w:lang w:val="en-US" w:eastAsia="zh-CN"/>
        </w:rPr>
      </w:r>
      <w:r w:rsidRPr="00E71CBE">
        <w:rPr>
          <w:rFonts w:cs="v4.2.0"/>
          <w:b/>
          <w:bCs/>
          <w:lang w:val="en-US" w:eastAsia="zh-CN"/>
        </w:rPr>
        <w:fldChar w:fldCharType="separate"/>
      </w:r>
      <w:r w:rsidRPr="00E71CBE">
        <w:rPr>
          <w:b/>
          <w:bCs/>
        </w:rPr>
        <w:t xml:space="preserve">Proposal </w:t>
      </w:r>
      <w:r w:rsidRPr="00E71CBE">
        <w:rPr>
          <w:b/>
          <w:bCs/>
          <w:noProof/>
        </w:rPr>
        <w:t>2</w:t>
      </w:r>
      <w:r w:rsidRPr="00E71CBE">
        <w:rPr>
          <w:b/>
          <w:bCs/>
        </w:rPr>
        <w:t>: no consider other additional test cases for MO addition/remove for Pre-MG in R17.</w:t>
      </w:r>
      <w:r w:rsidRPr="00E71CBE">
        <w:rPr>
          <w:rFonts w:cs="v4.2.0"/>
          <w:b/>
          <w:bCs/>
          <w:lang w:val="en-US"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084D4C2F" w:rsidR="00E20BE5" w:rsidRPr="00E20BE5" w:rsidRDefault="0076662C" w:rsidP="00AC5E60">
      <w:pPr>
        <w:pStyle w:val="Reference"/>
        <w:keepLines/>
        <w:numPr>
          <w:ilvl w:val="0"/>
          <w:numId w:val="12"/>
        </w:numPr>
      </w:pPr>
      <w:r w:rsidRPr="0076662C">
        <w:rPr>
          <w:bCs/>
        </w:rPr>
        <w:t>R4-2210586</w:t>
      </w:r>
      <w:r w:rsidR="00AC5E60">
        <w:rPr>
          <w:rFonts w:hint="eastAsia"/>
          <w:lang w:eastAsia="zh-CN"/>
        </w:rPr>
        <w:t>,</w:t>
      </w:r>
      <w:r w:rsidR="00AC5E60">
        <w:rPr>
          <w:lang w:eastAsia="zh-CN"/>
        </w:rPr>
        <w:t xml:space="preserve"> </w:t>
      </w:r>
      <w:r w:rsidR="007D7386" w:rsidRPr="007D7386">
        <w:rPr>
          <w:lang w:eastAsia="zh-CN"/>
        </w:rPr>
        <w:t>WF on R17 NR MG enhancements – Pre-configured MG</w:t>
      </w:r>
      <w:r w:rsidR="00AC5E60" w:rsidRPr="00AC5E60">
        <w:rPr>
          <w:lang w:eastAsia="zh-CN"/>
        </w:rPr>
        <w:t xml:space="preserve">, </w:t>
      </w:r>
      <w:r w:rsidR="007D7386">
        <w:rPr>
          <w:lang w:eastAsia="zh-CN"/>
        </w:rPr>
        <w:t>Intel</w:t>
      </w:r>
    </w:p>
    <w:sectPr w:rsidR="00E20BE5" w:rsidRPr="00E20BE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681CD" w14:textId="77777777" w:rsidR="0039645C" w:rsidRDefault="0039645C">
      <w:pPr>
        <w:spacing w:after="0"/>
      </w:pPr>
      <w:r>
        <w:separator/>
      </w:r>
    </w:p>
  </w:endnote>
  <w:endnote w:type="continuationSeparator" w:id="0">
    <w:p w14:paraId="248DE698" w14:textId="77777777" w:rsidR="0039645C" w:rsidRDefault="0039645C">
      <w:pPr>
        <w:spacing w:after="0"/>
      </w:pPr>
      <w:r>
        <w:continuationSeparator/>
      </w:r>
    </w:p>
  </w:endnote>
  <w:endnote w:type="continuationNotice" w:id="1">
    <w:p w14:paraId="4ED69E60" w14:textId="77777777" w:rsidR="0039645C" w:rsidRDefault="00396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D374A" w14:textId="77777777" w:rsidR="0039645C" w:rsidRDefault="0039645C">
      <w:pPr>
        <w:spacing w:after="0"/>
      </w:pPr>
      <w:r>
        <w:separator/>
      </w:r>
    </w:p>
  </w:footnote>
  <w:footnote w:type="continuationSeparator" w:id="0">
    <w:p w14:paraId="29B25C1F" w14:textId="77777777" w:rsidR="0039645C" w:rsidRDefault="0039645C">
      <w:pPr>
        <w:spacing w:after="0"/>
      </w:pPr>
      <w:r>
        <w:continuationSeparator/>
      </w:r>
    </w:p>
  </w:footnote>
  <w:footnote w:type="continuationNotice" w:id="1">
    <w:p w14:paraId="13BB69FB" w14:textId="77777777" w:rsidR="0039645C" w:rsidRDefault="003964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ED95710"/>
    <w:multiLevelType w:val="hybridMultilevel"/>
    <w:tmpl w:val="2C74B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573D2B"/>
    <w:multiLevelType w:val="hybridMultilevel"/>
    <w:tmpl w:val="2C74BBD2"/>
    <w:lvl w:ilvl="0" w:tplc="0E9CB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3"/>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7"/>
  </w:num>
  <w:num w:numId="12" w16cid:durableId="1175027039">
    <w:abstractNumId w:val="23"/>
  </w:num>
  <w:num w:numId="13" w16cid:durableId="380254838">
    <w:abstractNumId w:val="29"/>
  </w:num>
  <w:num w:numId="14" w16cid:durableId="1630817897">
    <w:abstractNumId w:val="34"/>
  </w:num>
  <w:num w:numId="15" w16cid:durableId="238248907">
    <w:abstractNumId w:val="15"/>
  </w:num>
  <w:num w:numId="16" w16cid:durableId="1646279227">
    <w:abstractNumId w:val="35"/>
  </w:num>
  <w:num w:numId="17" w16cid:durableId="1034160705">
    <w:abstractNumId w:val="30"/>
  </w:num>
  <w:num w:numId="18" w16cid:durableId="829756921">
    <w:abstractNumId w:val="4"/>
  </w:num>
  <w:num w:numId="19" w16cid:durableId="2037929455">
    <w:abstractNumId w:val="42"/>
  </w:num>
  <w:num w:numId="20" w16cid:durableId="929774177">
    <w:abstractNumId w:val="1"/>
  </w:num>
  <w:num w:numId="21" w16cid:durableId="1939562692">
    <w:abstractNumId w:val="31"/>
  </w:num>
  <w:num w:numId="22" w16cid:durableId="1748727827">
    <w:abstractNumId w:val="38"/>
  </w:num>
  <w:num w:numId="23" w16cid:durableId="1140416267">
    <w:abstractNumId w:val="7"/>
  </w:num>
  <w:num w:numId="24" w16cid:durableId="736245549">
    <w:abstractNumId w:val="16"/>
  </w:num>
  <w:num w:numId="25" w16cid:durableId="141434520">
    <w:abstractNumId w:val="18"/>
  </w:num>
  <w:num w:numId="26" w16cid:durableId="308361984">
    <w:abstractNumId w:val="27"/>
  </w:num>
  <w:num w:numId="27" w16cid:durableId="1286544297">
    <w:abstractNumId w:val="17"/>
  </w:num>
  <w:num w:numId="28" w16cid:durableId="511380108">
    <w:abstractNumId w:val="12"/>
  </w:num>
  <w:num w:numId="29" w16cid:durableId="1722946590">
    <w:abstractNumId w:val="44"/>
  </w:num>
  <w:num w:numId="30" w16cid:durableId="326788468">
    <w:abstractNumId w:val="0"/>
  </w:num>
  <w:num w:numId="31" w16cid:durableId="1353846389">
    <w:abstractNumId w:val="40"/>
  </w:num>
  <w:num w:numId="32" w16cid:durableId="1749496467">
    <w:abstractNumId w:val="28"/>
  </w:num>
  <w:num w:numId="33" w16cid:durableId="1048529770">
    <w:abstractNumId w:val="20"/>
  </w:num>
  <w:num w:numId="34" w16cid:durableId="670639989">
    <w:abstractNumId w:val="10"/>
  </w:num>
  <w:num w:numId="35" w16cid:durableId="105078909">
    <w:abstractNumId w:val="14"/>
  </w:num>
  <w:num w:numId="36" w16cid:durableId="189295732">
    <w:abstractNumId w:val="32"/>
  </w:num>
  <w:num w:numId="37" w16cid:durableId="572131220">
    <w:abstractNumId w:val="11"/>
  </w:num>
  <w:num w:numId="38" w16cid:durableId="45640540">
    <w:abstractNumId w:val="26"/>
  </w:num>
  <w:num w:numId="39" w16cid:durableId="370497449">
    <w:abstractNumId w:val="39"/>
  </w:num>
  <w:num w:numId="40" w16cid:durableId="1485469436">
    <w:abstractNumId w:val="5"/>
  </w:num>
  <w:num w:numId="41" w16cid:durableId="64689961">
    <w:abstractNumId w:val="2"/>
  </w:num>
  <w:num w:numId="42" w16cid:durableId="1644574958">
    <w:abstractNumId w:val="13"/>
  </w:num>
  <w:num w:numId="43" w16cid:durableId="227157610">
    <w:abstractNumId w:val="6"/>
  </w:num>
  <w:num w:numId="44" w16cid:durableId="614018558">
    <w:abstractNumId w:val="41"/>
  </w:num>
  <w:num w:numId="45" w16cid:durableId="895091282">
    <w:abstractNumId w:val="19"/>
  </w:num>
  <w:num w:numId="46" w16cid:durableId="1752969873">
    <w:abstractNumId w:val="24"/>
  </w:num>
  <w:num w:numId="47" w16cid:durableId="429202887">
    <w:abstractNumId w:val="33"/>
  </w:num>
  <w:num w:numId="48" w16cid:durableId="1341547644">
    <w:abstractNumId w:val="21"/>
  </w:num>
  <w:num w:numId="49" w16cid:durableId="201086627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29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4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645C"/>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46F"/>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0AB"/>
    <w:rsid w:val="00526356"/>
    <w:rsid w:val="005279B8"/>
    <w:rsid w:val="00530065"/>
    <w:rsid w:val="00532191"/>
    <w:rsid w:val="00532B76"/>
    <w:rsid w:val="00533C6E"/>
    <w:rsid w:val="00534568"/>
    <w:rsid w:val="0053480A"/>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37"/>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C81"/>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7CAC"/>
    <w:rsid w:val="007704E1"/>
    <w:rsid w:val="00770934"/>
    <w:rsid w:val="007709FF"/>
    <w:rsid w:val="00770C52"/>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0877"/>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386"/>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774"/>
    <w:rsid w:val="00882A11"/>
    <w:rsid w:val="008837EB"/>
    <w:rsid w:val="00883D2C"/>
    <w:rsid w:val="0088483A"/>
    <w:rsid w:val="00885480"/>
    <w:rsid w:val="00885CFF"/>
    <w:rsid w:val="00885DFA"/>
    <w:rsid w:val="00886054"/>
    <w:rsid w:val="00887FA8"/>
    <w:rsid w:val="0089051C"/>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124"/>
    <w:rsid w:val="008F6D79"/>
    <w:rsid w:val="00901624"/>
    <w:rsid w:val="00902212"/>
    <w:rsid w:val="009024F8"/>
    <w:rsid w:val="00902A9F"/>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3D4D"/>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2CB5"/>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6F5"/>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8D6"/>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54B3"/>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7769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00A"/>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0561"/>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81"/>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1C"/>
    <w:rsid w:val="00E9168A"/>
    <w:rsid w:val="00E941F4"/>
    <w:rsid w:val="00E9436D"/>
    <w:rsid w:val="00E94851"/>
    <w:rsid w:val="00E94A62"/>
    <w:rsid w:val="00E9527A"/>
    <w:rsid w:val="00E95933"/>
    <w:rsid w:val="00E95E4B"/>
    <w:rsid w:val="00E9714D"/>
    <w:rsid w:val="00E9777C"/>
    <w:rsid w:val="00E97A1F"/>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60B2"/>
    <w:rsid w:val="00EB7EBD"/>
    <w:rsid w:val="00EC0262"/>
    <w:rsid w:val="00EC1967"/>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4A69"/>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06A"/>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6EA"/>
    <w:rsid w:val="00FE089D"/>
    <w:rsid w:val="00FE18D0"/>
    <w:rsid w:val="00FE1F4E"/>
    <w:rsid w:val="00FE257E"/>
    <w:rsid w:val="00FE315D"/>
    <w:rsid w:val="00FE35E7"/>
    <w:rsid w:val="00FE3636"/>
    <w:rsid w:val="00FE3ABC"/>
    <w:rsid w:val="00FE46C7"/>
    <w:rsid w:val="00FE4F53"/>
    <w:rsid w:val="00FE532E"/>
    <w:rsid w:val="00FE54B9"/>
    <w:rsid w:val="00FE5815"/>
    <w:rsid w:val="00FE5B5F"/>
    <w:rsid w:val="00FE5CB5"/>
    <w:rsid w:val="00FE5E7D"/>
    <w:rsid w:val="00FE60BA"/>
    <w:rsid w:val="00FE796C"/>
    <w:rsid w:val="00FF025F"/>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3303939">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2424</TotalTime>
  <Pages>3</Pages>
  <Words>647</Words>
  <Characters>3692</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863</cp:revision>
  <cp:lastPrinted>2016-08-05T18:54:00Z</cp:lastPrinted>
  <dcterms:created xsi:type="dcterms:W3CDTF">2020-08-03T20:20:00Z</dcterms:created>
  <dcterms:modified xsi:type="dcterms:W3CDTF">2022-08-10T12:05:00Z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